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6B" w:rsidRDefault="00FB5FBE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Д</w:t>
      </w:r>
      <w:r w:rsidRPr="00FB5FBE">
        <w:rPr>
          <w:rFonts w:ascii="Times New Roman" w:hAnsi="Times New Roman" w:cs="Times New Roman"/>
          <w:b/>
          <w:bCs/>
          <w:sz w:val="24"/>
          <w:szCs w:val="24"/>
          <w:lang w:val="kk-KZ"/>
        </w:rPr>
        <w:t>ә</w:t>
      </w:r>
      <w:proofErr w:type="spellStart"/>
      <w:r w:rsidRPr="00FB5FBE">
        <w:rPr>
          <w:rFonts w:ascii="Times New Roman" w:hAnsi="Times New Roman" w:cs="Times New Roman"/>
          <w:b/>
          <w:bCs/>
          <w:sz w:val="24"/>
          <w:szCs w:val="24"/>
        </w:rPr>
        <w:t>ріс</w:t>
      </w:r>
      <w:proofErr w:type="spellEnd"/>
      <w:r w:rsidR="009110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№</w:t>
      </w:r>
      <w:r w:rsidR="00C03A38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bookmarkStart w:id="0" w:name="_GoBack"/>
      <w:bookmarkEnd w:id="0"/>
      <w:r w:rsidRPr="00FB5F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5FBE" w:rsidRPr="00FB5FBE" w:rsidRDefault="00C03A38" w:rsidP="0091106B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3A38">
        <w:rPr>
          <w:rFonts w:ascii="Times New Roman" w:hAnsi="Times New Roman" w:cs="Times New Roman"/>
          <w:sz w:val="24"/>
          <w:szCs w:val="24"/>
          <w:lang w:val="ru-RU"/>
        </w:rPr>
        <w:t>Потенциометрлік</w:t>
      </w:r>
      <w:proofErr w:type="spellEnd"/>
      <w:r w:rsidRPr="00C03A38">
        <w:rPr>
          <w:rFonts w:ascii="Times New Roman" w:hAnsi="Times New Roman" w:cs="Times New Roman"/>
          <w:sz w:val="24"/>
          <w:szCs w:val="24"/>
          <w:lang w:val="ru-RU"/>
        </w:rPr>
        <w:t xml:space="preserve"> талдау әдісі</w:t>
      </w:r>
    </w:p>
    <w:p w:rsidR="00FB5FBE" w:rsidRPr="00FB5FBE" w:rsidRDefault="00FB5FBE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FBE">
        <w:rPr>
          <w:rFonts w:ascii="Times New Roman" w:hAnsi="Times New Roman" w:cs="Times New Roman"/>
          <w:sz w:val="24"/>
          <w:szCs w:val="24"/>
        </w:rPr>
        <w:t>Дәрістің</w:t>
      </w:r>
      <w:proofErr w:type="spellEnd"/>
      <w:r w:rsidRPr="00FB5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FBE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FB5FBE">
        <w:rPr>
          <w:rFonts w:ascii="Times New Roman" w:hAnsi="Times New Roman" w:cs="Times New Roman"/>
          <w:sz w:val="24"/>
          <w:szCs w:val="24"/>
        </w:rPr>
        <w:t>:</w:t>
      </w:r>
    </w:p>
    <w:p w:rsidR="00FB5FBE" w:rsidRPr="00DE352C" w:rsidRDefault="0091106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1. </w:t>
      </w:r>
      <w:r w:rsidR="00C03A38" w:rsidRPr="00C03A38">
        <w:rPr>
          <w:rFonts w:ascii="Times New Roman" w:hAnsi="Times New Roman" w:cs="Times New Roman"/>
          <w:sz w:val="24"/>
          <w:szCs w:val="24"/>
          <w:lang w:val="kk-KZ"/>
        </w:rPr>
        <w:t>Әдістің жалпы сипаттамасы</w:t>
      </w:r>
      <w:r w:rsidR="00DE3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B5FBE" w:rsidRDefault="0091106B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2. </w:t>
      </w:r>
      <w:r w:rsidR="00C03A38" w:rsidRPr="00C03A38">
        <w:rPr>
          <w:rFonts w:ascii="Times New Roman" w:hAnsi="Times New Roman" w:cs="Times New Roman"/>
          <w:sz w:val="24"/>
          <w:szCs w:val="24"/>
          <w:lang w:val="kk-KZ"/>
        </w:rPr>
        <w:t>Ионометрия</w:t>
      </w:r>
      <w:r w:rsidR="00FB5FBE" w:rsidRPr="00FB5FBE">
        <w:rPr>
          <w:rFonts w:ascii="Times New Roman" w:hAnsi="Times New Roman" w:cs="Times New Roman"/>
          <w:sz w:val="24"/>
          <w:szCs w:val="24"/>
        </w:rPr>
        <w:t>.</w:t>
      </w:r>
    </w:p>
    <w:p w:rsidR="00C03A38" w:rsidRPr="00C03A38" w:rsidRDefault="00C03A38" w:rsidP="000C4F84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A3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C03A38">
        <w:rPr>
          <w:rFonts w:ascii="Times New Roman" w:hAnsi="Times New Roman" w:cs="Times New Roman"/>
          <w:sz w:val="24"/>
          <w:szCs w:val="24"/>
          <w:lang w:val="ru-RU"/>
        </w:rPr>
        <w:t>Потенциометрияда</w:t>
      </w:r>
      <w:proofErr w:type="spellEnd"/>
      <w:r w:rsidRPr="00C03A38">
        <w:rPr>
          <w:rFonts w:ascii="Times New Roman" w:hAnsi="Times New Roman" w:cs="Times New Roman"/>
          <w:sz w:val="24"/>
          <w:szCs w:val="24"/>
          <w:lang w:val="ru-RU"/>
        </w:rPr>
        <w:t xml:space="preserve"> қолданылатын </w:t>
      </w:r>
      <w:proofErr w:type="spellStart"/>
      <w:r w:rsidRPr="00C03A38">
        <w:rPr>
          <w:rFonts w:ascii="Times New Roman" w:hAnsi="Times New Roman" w:cs="Times New Roman"/>
          <w:sz w:val="24"/>
          <w:szCs w:val="24"/>
          <w:lang w:val="ru-RU"/>
        </w:rPr>
        <w:t>ұғымдар</w:t>
      </w:r>
      <w:proofErr w:type="spellEnd"/>
      <w:r w:rsidRPr="00C03A38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C03A38">
        <w:rPr>
          <w:rFonts w:ascii="Times New Roman" w:hAnsi="Times New Roman" w:cs="Times New Roman"/>
          <w:sz w:val="24"/>
          <w:szCs w:val="24"/>
          <w:lang w:val="ru-RU"/>
        </w:rPr>
        <w:t>терминдер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C03A38" w:rsidRPr="00C03A38" w:rsidRDefault="00037B8C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37B8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1. </w:t>
      </w:r>
      <w:r w:rsidR="00C03A38"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Потенциометрия </w:t>
      </w:r>
      <w:proofErr w:type="spellStart"/>
      <w:r w:rsidR="00C03A38" w:rsidRPr="00C03A38">
        <w:rPr>
          <w:rFonts w:ascii="Times New Roman" w:hAnsi="Times New Roman" w:cs="Times New Roman"/>
          <w:iCs/>
          <w:sz w:val="24"/>
          <w:szCs w:val="24"/>
          <w:lang w:val="ru-RU"/>
        </w:rPr>
        <w:t>потенциалды</w:t>
      </w:r>
      <w:proofErr w:type="spellEnd"/>
      <w:r w:rsidR="00C03A38"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C03A38" w:rsidRPr="00C03A38">
        <w:rPr>
          <w:rFonts w:ascii="Times New Roman" w:hAnsi="Times New Roman" w:cs="Times New Roman"/>
          <w:iCs/>
          <w:sz w:val="24"/>
          <w:szCs w:val="24"/>
          <w:lang w:val="ru-RU"/>
        </w:rPr>
        <w:t>өлшеуге</w:t>
      </w:r>
      <w:proofErr w:type="spellEnd"/>
      <w:r w:rsidR="00C03A38"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негізделген</w:t>
      </w:r>
    </w:p>
    <w:p w:rsidR="00C03A38" w:rsidRP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электрод пен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ерітінді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арасындағы (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дәлірек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айтқанда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гальваникалық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элементтің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ЭҚК), оның мәні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анықталатын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компоненттің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санына (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концентрациясына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) немесе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сапасына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табиғатына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) байланысты. Мұндай электрод индикатор деп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аталады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Сонымен,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потенциометриядағы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электродтық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потенциал аналитикалық сигнал болып табылады.</w:t>
      </w:r>
    </w:p>
    <w:p w:rsidR="00C03A38" w:rsidRP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Әдістің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артықшылықтары</w:t>
      </w:r>
    </w:p>
    <w:p w:rsidR="00C03A38" w:rsidRP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1.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Аппараттық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құралдарды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жобалаудың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қарапайымдылығы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C03A38" w:rsidRP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2. Өлшеу жылдамдығы.</w:t>
      </w:r>
    </w:p>
    <w:p w:rsidR="00C03A38" w:rsidRP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3. Жоғары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сезімталдық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C03A38" w:rsidRP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4.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Шағын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көлемдермен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жұмыс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>істей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білу.</w:t>
      </w:r>
    </w:p>
    <w:p w:rsidR="00E35985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3A38">
        <w:rPr>
          <w:rFonts w:ascii="Times New Roman" w:hAnsi="Times New Roman" w:cs="Times New Roman"/>
          <w:iCs/>
          <w:sz w:val="24"/>
          <w:szCs w:val="24"/>
        </w:rPr>
        <w:t xml:space="preserve">5. Үлкен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</w:rPr>
        <w:t>концентрация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03A38">
        <w:rPr>
          <w:rFonts w:ascii="Times New Roman" w:hAnsi="Times New Roman" w:cs="Times New Roman"/>
          <w:iCs/>
          <w:sz w:val="24"/>
          <w:szCs w:val="24"/>
        </w:rPr>
        <w:t>диапазоны</w:t>
      </w:r>
      <w:proofErr w:type="spellEnd"/>
      <w:r w:rsidRPr="00C03A38">
        <w:rPr>
          <w:rFonts w:ascii="Times New Roman" w:hAnsi="Times New Roman" w:cs="Times New Roman"/>
          <w:iCs/>
          <w:sz w:val="24"/>
          <w:szCs w:val="24"/>
        </w:rPr>
        <w:t>.</w:t>
      </w:r>
    </w:p>
    <w:p w:rsidR="00C03A38" w:rsidRP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3A38">
        <w:rPr>
          <w:rFonts w:ascii="Times New Roman" w:hAnsi="Times New Roman" w:cs="Times New Roman"/>
          <w:sz w:val="24"/>
          <w:szCs w:val="24"/>
          <w:lang w:val="kk-KZ"/>
        </w:rPr>
        <w:t>6. Жан-жақтылық. Әдіс бейтараптандыру, тұндыру, күрделі түзілу, тотығу реакцияларын қолдануға мүмкіндік береді -</w:t>
      </w:r>
    </w:p>
    <w:p w:rsidR="00C03A38" w:rsidRP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3A38">
        <w:rPr>
          <w:rFonts w:ascii="Times New Roman" w:hAnsi="Times New Roman" w:cs="Times New Roman"/>
          <w:sz w:val="24"/>
          <w:szCs w:val="24"/>
          <w:lang w:val="kk-KZ"/>
        </w:rPr>
        <w:t>қалпына келтіру.</w:t>
      </w:r>
    </w:p>
    <w:p w:rsidR="00C03A38" w:rsidRP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3A38">
        <w:rPr>
          <w:rFonts w:ascii="Times New Roman" w:hAnsi="Times New Roman" w:cs="Times New Roman"/>
          <w:sz w:val="24"/>
          <w:szCs w:val="24"/>
          <w:lang w:val="kk-KZ"/>
        </w:rPr>
        <w:t>7. Талдау үшін бұлыңғыр және түсті ерітінділерді пайдалануға болады.</w:t>
      </w:r>
    </w:p>
    <w:p w:rsidR="00C03A38" w:rsidRP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3A38">
        <w:rPr>
          <w:rFonts w:ascii="Times New Roman" w:hAnsi="Times New Roman" w:cs="Times New Roman"/>
          <w:sz w:val="24"/>
          <w:szCs w:val="24"/>
          <w:lang w:val="kk-KZ"/>
        </w:rPr>
        <w:t>Мақсаты бойынша потенциометриялық әдісті тікелей потенциометрия және потенциометриялық титрлеу деп жіктеуге болады.</w:t>
      </w:r>
    </w:p>
    <w:p w:rsidR="00C03A38" w:rsidRP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3A38">
        <w:rPr>
          <w:rFonts w:ascii="Times New Roman" w:hAnsi="Times New Roman" w:cs="Times New Roman"/>
          <w:sz w:val="24"/>
          <w:szCs w:val="24"/>
          <w:lang w:val="kk-KZ"/>
        </w:rPr>
        <w:t>Потенциометрияда қолданылатын индикаторлық электродтардың табиғатында және оларға электрохимиялық реакцияда ерекшеленетін әдістердің екі тобын ажыратады:</w:t>
      </w:r>
    </w:p>
    <w:p w:rsidR="00C03A38" w:rsidRDefault="00C03A38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3A38">
        <w:rPr>
          <w:rFonts w:ascii="Times New Roman" w:hAnsi="Times New Roman" w:cs="Times New Roman"/>
          <w:sz w:val="24"/>
          <w:szCs w:val="24"/>
          <w:lang w:val="kk-KZ"/>
        </w:rPr>
        <w:t>1. Өткізгіштіктің электронды түрі бар электродтарды қолдану арқылы редоксиметрия (классикалық потенциометрия). Алынған потенциал Нернст теңдеуіне бағынады:</w:t>
      </w:r>
    </w:p>
    <w:p w:rsidR="00037B8C" w:rsidRPr="00037B8C" w:rsidRDefault="00037B8C" w:rsidP="00C03A38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037B8C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                          </w:t>
      </w:r>
    </w:p>
    <w:p w:rsidR="00C03A38" w:rsidRDefault="00037B8C" w:rsidP="00C03A38">
      <w:pPr>
        <w:widowControl w:val="0"/>
        <w:spacing w:after="0" w:line="257" w:lineRule="auto"/>
        <w:ind w:firstLine="720"/>
        <w:jc w:val="both"/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</w:pPr>
      <w:r w:rsidRPr="00037B8C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                             </w:t>
      </w:r>
      <w:r w:rsidR="00C03A38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Е =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Е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0</m:t>
            </m:r>
          </m:sup>
        </m:sSup>
      </m:oMath>
      <w:r w:rsidR="00C03A38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RT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 xml:space="preserve">nF 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∙Ln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  <w:lang w:val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>Me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>n+</m:t>
            </m:r>
          </m:sup>
        </m:sSub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 xml:space="preserve"> </m:t>
        </m:r>
      </m:oMath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,</w:t>
      </w:r>
    </w:p>
    <w:p w:rsidR="00037B8C" w:rsidRPr="00037B8C" w:rsidRDefault="00037B8C" w:rsidP="00037B8C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7B8C">
        <w:rPr>
          <w:rFonts w:ascii="Times New Roman" w:hAnsi="Times New Roman" w:cs="Times New Roman"/>
          <w:sz w:val="24"/>
          <w:szCs w:val="24"/>
          <w:lang w:val="ru-RU"/>
        </w:rPr>
        <w:t xml:space="preserve">мұндағы R – </w:t>
      </w:r>
      <w:proofErr w:type="spellStart"/>
      <w:r w:rsidRPr="00037B8C">
        <w:rPr>
          <w:rFonts w:ascii="Times New Roman" w:hAnsi="Times New Roman" w:cs="Times New Roman"/>
          <w:sz w:val="24"/>
          <w:szCs w:val="24"/>
          <w:lang w:val="ru-RU"/>
        </w:rPr>
        <w:t>әмбебап</w:t>
      </w:r>
      <w:proofErr w:type="spellEnd"/>
      <w:r w:rsidRPr="00037B8C">
        <w:rPr>
          <w:rFonts w:ascii="Times New Roman" w:hAnsi="Times New Roman" w:cs="Times New Roman"/>
          <w:sz w:val="24"/>
          <w:szCs w:val="24"/>
          <w:lang w:val="ru-RU"/>
        </w:rPr>
        <w:t xml:space="preserve"> газ </w:t>
      </w:r>
      <w:proofErr w:type="spellStart"/>
      <w:r w:rsidRPr="00037B8C">
        <w:rPr>
          <w:rFonts w:ascii="Times New Roman" w:hAnsi="Times New Roman" w:cs="Times New Roman"/>
          <w:sz w:val="24"/>
          <w:szCs w:val="24"/>
          <w:lang w:val="ru-RU"/>
        </w:rPr>
        <w:t>тұрақтысы</w:t>
      </w:r>
      <w:proofErr w:type="spellEnd"/>
      <w:r w:rsidRPr="00037B8C">
        <w:rPr>
          <w:rFonts w:ascii="Times New Roman" w:hAnsi="Times New Roman" w:cs="Times New Roman"/>
          <w:sz w:val="24"/>
          <w:szCs w:val="24"/>
          <w:lang w:val="ru-RU"/>
        </w:rPr>
        <w:t>, 8,31 Дж/моль;</w:t>
      </w:r>
    </w:p>
    <w:p w:rsidR="00037B8C" w:rsidRPr="00037B8C" w:rsidRDefault="00037B8C" w:rsidP="00037B8C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7B8C">
        <w:rPr>
          <w:rFonts w:ascii="Times New Roman" w:hAnsi="Times New Roman" w:cs="Times New Roman"/>
          <w:sz w:val="24"/>
          <w:szCs w:val="24"/>
          <w:lang w:val="ru-RU"/>
        </w:rPr>
        <w:t>T - температура, K;</w:t>
      </w:r>
    </w:p>
    <w:p w:rsidR="00037B8C" w:rsidRPr="00037B8C" w:rsidRDefault="00037B8C" w:rsidP="00037B8C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7B8C">
        <w:rPr>
          <w:rFonts w:ascii="Times New Roman" w:hAnsi="Times New Roman" w:cs="Times New Roman"/>
          <w:sz w:val="24"/>
          <w:szCs w:val="24"/>
          <w:lang w:val="ru-RU"/>
        </w:rPr>
        <w:t>F – Фарадей саны, 96500 С/моль;</w:t>
      </w:r>
    </w:p>
    <w:p w:rsidR="00037B8C" w:rsidRPr="00037B8C" w:rsidRDefault="00037B8C" w:rsidP="00037B8C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7B8C">
        <w:rPr>
          <w:rFonts w:ascii="Times New Roman" w:hAnsi="Times New Roman" w:cs="Times New Roman"/>
          <w:sz w:val="24"/>
          <w:szCs w:val="24"/>
          <w:lang w:val="ru-RU"/>
        </w:rPr>
        <w:t>n – тотығу-</w:t>
      </w:r>
      <w:proofErr w:type="spellStart"/>
      <w:r w:rsidRPr="00037B8C">
        <w:rPr>
          <w:rFonts w:ascii="Times New Roman" w:hAnsi="Times New Roman" w:cs="Times New Roman"/>
          <w:sz w:val="24"/>
          <w:szCs w:val="24"/>
          <w:lang w:val="ru-RU"/>
        </w:rPr>
        <w:t>тотықсыздану</w:t>
      </w:r>
      <w:proofErr w:type="spellEnd"/>
      <w:r w:rsidRPr="00037B8C">
        <w:rPr>
          <w:rFonts w:ascii="Times New Roman" w:hAnsi="Times New Roman" w:cs="Times New Roman"/>
          <w:sz w:val="24"/>
          <w:szCs w:val="24"/>
          <w:lang w:val="ru-RU"/>
        </w:rPr>
        <w:t xml:space="preserve"> процесіне </w:t>
      </w:r>
      <w:proofErr w:type="spellStart"/>
      <w:r w:rsidRPr="00037B8C">
        <w:rPr>
          <w:rFonts w:ascii="Times New Roman" w:hAnsi="Times New Roman" w:cs="Times New Roman"/>
          <w:sz w:val="24"/>
          <w:szCs w:val="24"/>
          <w:lang w:val="ru-RU"/>
        </w:rPr>
        <w:t>қатысатын</w:t>
      </w:r>
      <w:proofErr w:type="spellEnd"/>
      <w:r w:rsidRPr="00037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7B8C">
        <w:rPr>
          <w:rFonts w:ascii="Times New Roman" w:hAnsi="Times New Roman" w:cs="Times New Roman"/>
          <w:sz w:val="24"/>
          <w:szCs w:val="24"/>
          <w:lang w:val="ru-RU"/>
        </w:rPr>
        <w:t>электрондар</w:t>
      </w:r>
      <w:proofErr w:type="spellEnd"/>
      <w:r w:rsidRPr="00037B8C">
        <w:rPr>
          <w:rFonts w:ascii="Times New Roman" w:hAnsi="Times New Roman" w:cs="Times New Roman"/>
          <w:sz w:val="24"/>
          <w:szCs w:val="24"/>
          <w:lang w:val="ru-RU"/>
        </w:rPr>
        <w:t xml:space="preserve"> саны;</w:t>
      </w:r>
    </w:p>
    <w:p w:rsidR="00037B8C" w:rsidRPr="00037B8C" w:rsidRDefault="00037B8C" w:rsidP="00037B8C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37B8C">
        <w:rPr>
          <w:rFonts w:ascii="Times New Roman" w:hAnsi="Times New Roman" w:cs="Times New Roman"/>
          <w:sz w:val="24"/>
          <w:szCs w:val="24"/>
          <w:lang w:val="ru-RU"/>
        </w:rPr>
        <w:t>aMe</w:t>
      </w:r>
      <w:proofErr w:type="spellEnd"/>
    </w:p>
    <w:p w:rsidR="00037B8C" w:rsidRDefault="00037B8C" w:rsidP="00037B8C">
      <w:pPr>
        <w:widowControl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7B8C">
        <w:rPr>
          <w:rFonts w:ascii="Times New Roman" w:hAnsi="Times New Roman" w:cs="Times New Roman"/>
          <w:sz w:val="24"/>
          <w:szCs w:val="24"/>
          <w:lang w:val="ru-RU"/>
        </w:rPr>
        <w:t xml:space="preserve">n+ – потенциал </w:t>
      </w:r>
      <w:proofErr w:type="spellStart"/>
      <w:r w:rsidRPr="00037B8C">
        <w:rPr>
          <w:rFonts w:ascii="Times New Roman" w:hAnsi="Times New Roman" w:cs="Times New Roman"/>
          <w:sz w:val="24"/>
          <w:szCs w:val="24"/>
          <w:lang w:val="ru-RU"/>
        </w:rPr>
        <w:t>анықтаушы</w:t>
      </w:r>
      <w:proofErr w:type="spellEnd"/>
      <w:r w:rsidRPr="00037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7B8C">
        <w:rPr>
          <w:rFonts w:ascii="Times New Roman" w:hAnsi="Times New Roman" w:cs="Times New Roman"/>
          <w:sz w:val="24"/>
          <w:szCs w:val="24"/>
          <w:lang w:val="ru-RU"/>
        </w:rPr>
        <w:t>иондардың</w:t>
      </w:r>
      <w:proofErr w:type="spellEnd"/>
      <w:r w:rsidRPr="00037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7B8C">
        <w:rPr>
          <w:rFonts w:ascii="Times New Roman" w:hAnsi="Times New Roman" w:cs="Times New Roman"/>
          <w:sz w:val="24"/>
          <w:szCs w:val="24"/>
          <w:lang w:val="ru-RU"/>
        </w:rPr>
        <w:t>белсенділігі</w:t>
      </w:r>
      <w:proofErr w:type="spellEnd"/>
      <w:r w:rsidRPr="00037B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7B8C" w:rsidRDefault="00037B8C" w:rsidP="00037B8C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37B8C">
        <w:rPr>
          <w:rFonts w:ascii="Times New Roman" w:hAnsi="Times New Roman" w:cs="Times New Roman"/>
          <w:sz w:val="24"/>
          <w:szCs w:val="24"/>
          <w:lang w:val="ru-RU"/>
        </w:rPr>
        <w:t>Электродта</w:t>
      </w:r>
      <w:proofErr w:type="spellEnd"/>
      <w:r w:rsidRPr="00037B8C">
        <w:rPr>
          <w:rFonts w:ascii="Times New Roman" w:hAnsi="Times New Roman" w:cs="Times New Roman"/>
          <w:sz w:val="24"/>
          <w:szCs w:val="24"/>
          <w:lang w:val="ru-RU"/>
        </w:rPr>
        <w:t xml:space="preserve"> жүретін </w:t>
      </w:r>
      <w:proofErr w:type="spellStart"/>
      <w:r w:rsidRPr="00037B8C">
        <w:rPr>
          <w:rFonts w:ascii="Times New Roman" w:hAnsi="Times New Roman" w:cs="Times New Roman"/>
          <w:sz w:val="24"/>
          <w:szCs w:val="24"/>
          <w:lang w:val="ru-RU"/>
        </w:rPr>
        <w:t>электрохимиялық</w:t>
      </w:r>
      <w:proofErr w:type="spellEnd"/>
      <w:r w:rsidRPr="00037B8C">
        <w:rPr>
          <w:rFonts w:ascii="Times New Roman" w:hAnsi="Times New Roman" w:cs="Times New Roman"/>
          <w:sz w:val="24"/>
          <w:szCs w:val="24"/>
          <w:lang w:val="ru-RU"/>
        </w:rPr>
        <w:t xml:space="preserve"> реакция:</w:t>
      </w:r>
    </w:p>
    <w:p w:rsidR="00037B8C" w:rsidRDefault="00037B8C" w:rsidP="00037B8C">
      <w:pPr>
        <w:widowControl w:val="0"/>
        <w:spacing w:after="0" w:line="257" w:lineRule="auto"/>
        <w:ind w:firstLine="720"/>
        <w:jc w:val="both"/>
        <w:rPr>
          <w:rFonts w:ascii="Times New Roman" w:eastAsia="Times New Roman,Italic" w:hAnsi="Times New Roman" w:cs="Times New Roman"/>
          <w:sz w:val="32"/>
          <w:szCs w:val="32"/>
        </w:rPr>
      </w:pPr>
      <w:r>
        <w:rPr>
          <w:rFonts w:ascii="Times New Roman,Italic" w:eastAsia="Times New Roman,Italic" w:cs="Times New Roman,Italic" w:hint="eastAsia"/>
          <w:i/>
          <w:iCs/>
          <w:sz w:val="32"/>
          <w:szCs w:val="32"/>
        </w:rPr>
        <w:t xml:space="preserve">               </w:t>
      </w:r>
      <w:proofErr w:type="spellStart"/>
      <w:r>
        <w:rPr>
          <w:rFonts w:ascii="Times New Roman,Italic" w:eastAsia="Times New Roman,Italic" w:cs="Times New Roman,Italic" w:hint="eastAsia"/>
          <w:i/>
          <w:iCs/>
          <w:sz w:val="32"/>
          <w:szCs w:val="32"/>
        </w:rPr>
        <w:t>Ме</w:t>
      </w:r>
      <w:r>
        <w:rPr>
          <w:rFonts w:ascii="Times New Roman" w:eastAsia="Times New Roman,Italic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,Italic" w:hAnsi="Times New Roman" w:cs="Times New Roman"/>
          <w:sz w:val="21"/>
          <w:szCs w:val="21"/>
        </w:rPr>
        <w:t xml:space="preserve">+ </w:t>
      </w:r>
      <w:r>
        <w:rPr>
          <w:rFonts w:ascii="Times New Roman" w:eastAsia="Times New Roman,Italic" w:hAnsi="Times New Roman" w:cs="Times New Roman"/>
          <w:sz w:val="32"/>
          <w:szCs w:val="32"/>
        </w:rPr>
        <w:t xml:space="preserve">+ </w:t>
      </w:r>
      <w:proofErr w:type="spellStart"/>
      <w:r>
        <w:rPr>
          <w:rFonts w:ascii="Times New Roman" w:eastAsia="Times New Roman,Italic" w:hAnsi="Times New Roman" w:cs="Times New Roman"/>
          <w:i/>
          <w:iCs/>
          <w:sz w:val="32"/>
          <w:szCs w:val="32"/>
        </w:rPr>
        <w:t>n</w:t>
      </w:r>
      <w:r>
        <w:rPr>
          <w:rFonts w:ascii="Times New Roman,Italic" w:eastAsia="Times New Roman,Italic" w:cs="Times New Roman,Italic" w:hint="eastAsia"/>
          <w:i/>
          <w:iCs/>
          <w:sz w:val="32"/>
          <w:szCs w:val="32"/>
        </w:rPr>
        <w:t>е</w:t>
      </w:r>
      <w:proofErr w:type="spellEnd"/>
      <w:r>
        <w:rPr>
          <w:rFonts w:ascii="Times New Roman,Italic" w:eastAsia="Times New Roman,Italic" w:cs="Times New Roman,Italic"/>
          <w:i/>
          <w:iCs/>
          <w:sz w:val="32"/>
          <w:szCs w:val="32"/>
        </w:rPr>
        <w:t xml:space="preserve"> </w:t>
      </w:r>
      <w:r>
        <w:rPr>
          <w:rFonts w:ascii="Times New Roman" w:eastAsia="Times New Roman,Italic" w:hAnsi="Times New Roman" w:cs="Times New Roman"/>
          <w:sz w:val="32"/>
          <w:szCs w:val="32"/>
        </w:rPr>
        <w:t xml:space="preserve">→ </w:t>
      </w:r>
      <w:r>
        <w:rPr>
          <w:rFonts w:ascii="Times New Roman" w:eastAsia="Times New Roman,Italic" w:hAnsi="Times New Roman" w:cs="Times New Roman"/>
          <w:i/>
          <w:iCs/>
          <w:sz w:val="32"/>
          <w:szCs w:val="32"/>
        </w:rPr>
        <w:t>Me</w:t>
      </w:r>
      <w:r>
        <w:rPr>
          <w:rFonts w:ascii="Times New Roman" w:eastAsia="Times New Roman,Italic" w:hAnsi="Times New Roman" w:cs="Times New Roman"/>
          <w:sz w:val="21"/>
          <w:szCs w:val="21"/>
        </w:rPr>
        <w:t>0</w:t>
      </w:r>
      <w:r>
        <w:rPr>
          <w:rFonts w:ascii="Times New Roman" w:eastAsia="Times New Roman,Italic" w:hAnsi="Times New Roman" w:cs="Times New Roman"/>
          <w:sz w:val="32"/>
          <w:szCs w:val="32"/>
        </w:rPr>
        <w:t>.</w:t>
      </w:r>
    </w:p>
    <w:p w:rsidR="00037B8C" w:rsidRDefault="00037B8C" w:rsidP="00037B8C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Ионометрия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потенциометрияның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бір түрі болып табылады, мұнда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индикаторлық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электродтар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ретінде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өткізгіштігінің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иондық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түрі бар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электродтар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мембраналық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ион-селективті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электродтар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(ИСЭ) пайдаланылады, оның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потенциалы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мембраналық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иондардың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ерітіндімен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lastRenderedPageBreak/>
        <w:t>алмасуынан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туындайды және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Никольский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8C">
        <w:rPr>
          <w:rFonts w:ascii="Times New Roman" w:hAnsi="Times New Roman" w:cs="Times New Roman"/>
          <w:sz w:val="24"/>
          <w:szCs w:val="24"/>
        </w:rPr>
        <w:t>теңдеуіне</w:t>
      </w:r>
      <w:proofErr w:type="spellEnd"/>
      <w:r w:rsidRPr="00037B8C">
        <w:rPr>
          <w:rFonts w:ascii="Times New Roman" w:hAnsi="Times New Roman" w:cs="Times New Roman"/>
          <w:sz w:val="24"/>
          <w:szCs w:val="24"/>
        </w:rPr>
        <w:t xml:space="preserve"> бағынады:</w:t>
      </w:r>
    </w:p>
    <w:p w:rsidR="00037B8C" w:rsidRDefault="00037B8C" w:rsidP="00037B8C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7B8C" w:rsidRDefault="00037B8C" w:rsidP="00037B8C">
      <w:pPr>
        <w:widowControl w:val="0"/>
        <w:spacing w:after="0" w:line="257" w:lineRule="auto"/>
        <w:ind w:firstLine="720"/>
        <w:jc w:val="both"/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</w:pPr>
      <w:r w:rsidRPr="00037B8C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Е =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Е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RT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 xml:space="preserve">nF 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∙Ln</m:t>
        </m:r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 xml:space="preserve"> (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 xml:space="preserve">·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 xml:space="preserve"> </m:t>
        </m:r>
      </m:oMath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,</w:t>
      </w:r>
    </w:p>
    <w:p w:rsidR="00037B8C" w:rsidRPr="00037B8C" w:rsidRDefault="00037B8C" w:rsidP="00037B8C">
      <w:pPr>
        <w:widowControl w:val="0"/>
        <w:spacing w:after="0" w:line="257" w:lineRule="auto"/>
        <w:jc w:val="both"/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</w:pPr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мұндағы E0 – шартты </w:t>
      </w: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стандартты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 потенциал;</w:t>
      </w:r>
    </w:p>
    <w:p w:rsidR="00037B8C" w:rsidRPr="00037B8C" w:rsidRDefault="00037B8C" w:rsidP="00037B8C">
      <w:pPr>
        <w:widowControl w:val="0"/>
        <w:spacing w:after="0" w:line="257" w:lineRule="auto"/>
        <w:jc w:val="both"/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</w:pPr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ai – анықталған </w:t>
      </w: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иондардың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 </w:t>
      </w: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активтілігі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 i;</w:t>
      </w:r>
    </w:p>
    <w:p w:rsidR="00037B8C" w:rsidRPr="00037B8C" w:rsidRDefault="00037B8C" w:rsidP="00037B8C">
      <w:pPr>
        <w:widowControl w:val="0"/>
        <w:spacing w:after="0" w:line="257" w:lineRule="auto"/>
        <w:jc w:val="both"/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</w:pP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aj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 – кедергі </w:t>
      </w: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жасайтын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 j-</w:t>
      </w: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иондарының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 </w:t>
      </w: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белсенділігі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;</w:t>
      </w:r>
    </w:p>
    <w:p w:rsidR="00037B8C" w:rsidRPr="00037B8C" w:rsidRDefault="00037B8C" w:rsidP="00037B8C">
      <w:pPr>
        <w:widowControl w:val="0"/>
        <w:spacing w:after="0" w:line="257" w:lineRule="auto"/>
        <w:jc w:val="both"/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</w:pP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Kij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 – </w:t>
      </w: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селективтілік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 </w:t>
      </w: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коэффициенті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.</w:t>
      </w:r>
    </w:p>
    <w:p w:rsidR="00037B8C" w:rsidRPr="00037B8C" w:rsidRDefault="00037B8C" w:rsidP="00037B8C">
      <w:pPr>
        <w:widowControl w:val="0"/>
        <w:spacing w:after="0" w:line="257" w:lineRule="auto"/>
        <w:jc w:val="both"/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</w:pPr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«+» белгісі катион-</w:t>
      </w: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селективті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 </w:t>
      </w: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потенциалдарды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 есептеу кезінде </w:t>
      </w: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қолданылады</w:t>
      </w:r>
      <w:proofErr w:type="spellEnd"/>
    </w:p>
    <w:p w:rsidR="00037B8C" w:rsidRDefault="00037B8C" w:rsidP="00037B8C">
      <w:pPr>
        <w:widowControl w:val="0"/>
        <w:spacing w:after="0" w:line="257" w:lineRule="auto"/>
        <w:jc w:val="both"/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</w:pP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электродтар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 xml:space="preserve">, «-» белгісі – </w:t>
      </w:r>
      <w:proofErr w:type="spellStart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анионды-селективті</w:t>
      </w:r>
      <w:proofErr w:type="spellEnd"/>
      <w:r w:rsidRPr="00037B8C">
        <w:rPr>
          <w:rFonts w:ascii="Times New Roman" w:eastAsiaTheme="minorEastAsia" w:hAnsi="Times New Roman" w:cs="Times New Roman"/>
          <w:iCs/>
          <w:sz w:val="32"/>
          <w:szCs w:val="32"/>
          <w:lang w:val="ru-RU"/>
        </w:rPr>
        <w:t>.</w:t>
      </w:r>
    </w:p>
    <w:p w:rsidR="00037B8C" w:rsidRPr="00037B8C" w:rsidRDefault="00037B8C" w:rsidP="00037B8C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37B8C" w:rsidRPr="00037B8C" w:rsidSect="00FB5FB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BE"/>
    <w:rsid w:val="00037B8C"/>
    <w:rsid w:val="000C4F84"/>
    <w:rsid w:val="003A737B"/>
    <w:rsid w:val="0091106B"/>
    <w:rsid w:val="00A56A17"/>
    <w:rsid w:val="00C03A38"/>
    <w:rsid w:val="00C1230F"/>
    <w:rsid w:val="00DE352C"/>
    <w:rsid w:val="00E35985"/>
    <w:rsid w:val="00FB5FBE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020A"/>
  <w15:chartTrackingRefBased/>
  <w15:docId w15:val="{8245882D-434D-44CE-9904-4E2ACA2D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6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2023-01-07T08:37:00Z</dcterms:created>
  <dcterms:modified xsi:type="dcterms:W3CDTF">2023-01-07T08:37:00Z</dcterms:modified>
</cp:coreProperties>
</file>